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66E3" w:rsidRDefault="006C0F7C">
      <w:pPr>
        <w:jc w:val="center"/>
      </w:pPr>
      <w:r>
        <w:rPr>
          <w:b/>
          <w:sz w:val="40"/>
          <w:szCs w:val="40"/>
        </w:rPr>
        <w:t xml:space="preserve">Medical Office Procedures – OCP-C </w:t>
      </w:r>
      <w:bookmarkStart w:id="0" w:name="_GoBack"/>
      <w:bookmarkEnd w:id="0"/>
    </w:p>
    <w:p w:rsidR="003066E3" w:rsidRDefault="006C0F7C">
      <w:r>
        <w:rPr>
          <w:b/>
          <w:sz w:val="28"/>
          <w:szCs w:val="28"/>
        </w:rPr>
        <w:t>Chapters 4-8</w:t>
      </w:r>
    </w:p>
    <w:tbl>
      <w:tblPr>
        <w:tblStyle w:val="a"/>
        <w:tblW w:w="97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650"/>
      </w:tblGrid>
      <w:tr w:rsidR="003066E3">
        <w:tc>
          <w:tcPr>
            <w:tcW w:w="2088" w:type="dxa"/>
            <w:shd w:val="clear" w:color="auto" w:fill="EEECE1"/>
          </w:tcPr>
          <w:p w:rsidR="003066E3" w:rsidRDefault="006C0F7C">
            <w:pPr>
              <w:spacing w:line="276" w:lineRule="auto"/>
            </w:pPr>
            <w:r>
              <w:t>Course Objectives</w:t>
            </w:r>
          </w:p>
          <w:p w:rsidR="003066E3" w:rsidRDefault="006C0F7C">
            <w:pPr>
              <w:spacing w:after="200" w:line="276" w:lineRule="auto"/>
            </w:pPr>
            <w:r>
              <w:t xml:space="preserve">The Student will be </w:t>
            </w:r>
            <w:r>
              <w:t>able</w:t>
            </w:r>
            <w:r>
              <w:rPr>
                <w:shd w:val="clear" w:color="auto" w:fill="EEECE1"/>
              </w:rPr>
              <w:t xml:space="preserve"> to :</w:t>
            </w:r>
          </w:p>
        </w:tc>
        <w:tc>
          <w:tcPr>
            <w:tcW w:w="7650" w:type="dxa"/>
            <w:shd w:val="clear" w:color="auto" w:fill="EEECE1"/>
          </w:tcPr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Explain how proper triage of patients during a phone conversation can assist the office environment. (4.1)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Recall and explain two different types of scheduling options and provide examples of practices that would be suited to each of the schedules. (4.2)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Recall the steps in processing incoming mail and discuss related safety recommendations. (4.3)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Classify vari</w:t>
            </w:r>
            <w:r>
              <w:t>ous uses of computer technology. (5.1)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 xml:space="preserve">Recall reasons for maintaining a medical chart and documents that comprise the medical chart. (5.2) 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Discuss the advantages and challenges of electronic health records implementation. ( 5.3)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List three medical abbrevi</w:t>
            </w:r>
            <w:r>
              <w:t xml:space="preserve">ations not to be used that have been targeted by </w:t>
            </w:r>
            <w:hyperlink r:id="rId5">
              <w:r>
                <w:rPr>
                  <w:color w:val="0000FF"/>
                  <w:u w:val="single"/>
                </w:rPr>
                <w:t>The Joint Commission</w:t>
              </w:r>
            </w:hyperlink>
            <w:r>
              <w:t xml:space="preserve">  (5.4)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Discuss various input technologies used to create medical documentation. (5.5)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Identify Compone</w:t>
            </w:r>
            <w:r>
              <w:t xml:space="preserve">nts of a paper based medical record and explain how the same components will be compiled in an electronic health record format. (5.6) 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Distinguish among active, inactive, and closed files. (5.7)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Differentiate among records management systems that may be us</w:t>
            </w:r>
            <w:r>
              <w:t xml:space="preserve">ed </w:t>
            </w:r>
            <w:proofErr w:type="gramStart"/>
            <w:r>
              <w:t>in  a</w:t>
            </w:r>
            <w:proofErr w:type="gramEnd"/>
            <w:r>
              <w:t xml:space="preserve"> medical office. (5.8)</w:t>
            </w:r>
          </w:p>
          <w:p w:rsidR="003066E3" w:rsidRDefault="006C0F7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 xml:space="preserve">Design a medical Office waiting area that exhibits the priority of patient comfort. (6.1) 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Identify </w:t>
            </w:r>
            <w:proofErr w:type="gramStart"/>
            <w:r>
              <w:t>three  stress</w:t>
            </w:r>
            <w:proofErr w:type="gramEnd"/>
            <w:r>
              <w:t xml:space="preserve"> triggers in your own life and define at least one method of reducing the associated negative stress. (6.2)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Diff</w:t>
            </w:r>
            <w:r>
              <w:t>erentiate among three common leadership/management styles. (6.3)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Explain why an administrative medical assistant needs to know how to collect and assimilate research data. (6.4)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Classify items into major categories of needed information when making travel arrangements. (6.5)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Justify why a policies and procedures manual should be developed and used in a medical office.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Define medical insurance and coding terminology. (7.1)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Explain </w:t>
            </w:r>
            <w:r>
              <w:t>the differences among the types of insurance plans. (7.2)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Compare and contrast PAR and </w:t>
            </w:r>
            <w:proofErr w:type="spellStart"/>
            <w:r>
              <w:t>nonPAR</w:t>
            </w:r>
            <w:proofErr w:type="spellEnd"/>
            <w:r>
              <w:t xml:space="preserve"> and the methods insurance companies use to determine how much a provider is paid. (7.3)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Apply </w:t>
            </w:r>
            <w:r>
              <w:rPr>
                <w:i/>
              </w:rPr>
              <w:t>ICD-10-CM</w:t>
            </w:r>
            <w:r>
              <w:t xml:space="preserve"> conventions, abbreviations, and guidelines to properly </w:t>
            </w:r>
            <w:r>
              <w:lastRenderedPageBreak/>
              <w:t>cod</w:t>
            </w:r>
            <w:r>
              <w:t>e diagnoses in an outpatient setting. (7.4)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Apply </w:t>
            </w:r>
            <w:r>
              <w:rPr>
                <w:i/>
              </w:rPr>
              <w:t>CPT</w:t>
            </w:r>
            <w:r>
              <w:t xml:space="preserve"> conventions and guidelines to properly code procedures and supplies in an outpatient setting. (7.5)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Explain the effects of coding compliance errors on the revenue cycle in the medical office setting. (7.6)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t>Recognize and calculate charges for medical services and process patient statements based on the patient encounter form and the physician's fee schedu</w:t>
            </w:r>
            <w:r>
              <w:t>le. (8.1)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80" w:line="276" w:lineRule="auto"/>
              <w:ind w:hanging="360"/>
              <w:contextualSpacing/>
            </w:pPr>
            <w:r>
              <w:t>Compare and contrast the process of completing and transmitting insurance claims using both hardcopy and electronic methods. (8.2)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Describe the different types of billing options used by medical practices for billing patients. (8.3)</w:t>
            </w:r>
          </w:p>
          <w:p w:rsidR="003066E3" w:rsidRDefault="006C0F7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Paraphrase th</w:t>
            </w:r>
            <w:r>
              <w:t>e procedures and options available for collecting delinquent accounts. (8.4)</w:t>
            </w:r>
          </w:p>
        </w:tc>
      </w:tr>
      <w:tr w:rsidR="003066E3">
        <w:tc>
          <w:tcPr>
            <w:tcW w:w="2088" w:type="dxa"/>
          </w:tcPr>
          <w:p w:rsidR="003066E3" w:rsidRDefault="006C0F7C">
            <w:pPr>
              <w:spacing w:after="200" w:line="276" w:lineRule="auto"/>
            </w:pPr>
            <w:r>
              <w:lastRenderedPageBreak/>
              <w:t>Competencies</w:t>
            </w:r>
          </w:p>
          <w:p w:rsidR="003066E3" w:rsidRDefault="003066E3">
            <w:pPr>
              <w:spacing w:after="200" w:line="276" w:lineRule="auto"/>
            </w:pPr>
          </w:p>
        </w:tc>
        <w:tc>
          <w:tcPr>
            <w:tcW w:w="7650" w:type="dxa"/>
          </w:tcPr>
          <w:p w:rsidR="003066E3" w:rsidRDefault="006C0F7C">
            <w:pPr>
              <w:spacing w:after="200" w:line="276" w:lineRule="auto"/>
            </w:pPr>
            <w:r>
              <w:t>37, 38</w:t>
            </w:r>
          </w:p>
          <w:p w:rsidR="003066E3" w:rsidRDefault="003066E3">
            <w:pPr>
              <w:spacing w:after="200" w:line="276" w:lineRule="auto"/>
            </w:pPr>
          </w:p>
        </w:tc>
      </w:tr>
      <w:tr w:rsidR="003066E3">
        <w:tc>
          <w:tcPr>
            <w:tcW w:w="2088" w:type="dxa"/>
          </w:tcPr>
          <w:p w:rsidR="003066E3" w:rsidRDefault="006C0F7C">
            <w:pPr>
              <w:spacing w:after="200" w:line="276" w:lineRule="auto"/>
            </w:pPr>
            <w:r>
              <w:t>Module Materials</w:t>
            </w:r>
          </w:p>
        </w:tc>
        <w:tc>
          <w:tcPr>
            <w:tcW w:w="7650" w:type="dxa"/>
            <w:shd w:val="clear" w:color="auto" w:fill="EBF1DD"/>
          </w:tcPr>
          <w:p w:rsidR="003066E3" w:rsidRDefault="006C0F7C">
            <w:pPr>
              <w:spacing w:line="276" w:lineRule="auto"/>
            </w:pPr>
            <w:r>
              <w:t>Medical Office Procedures 8</w:t>
            </w:r>
            <w:r>
              <w:rPr>
                <w:vertAlign w:val="superscript"/>
              </w:rPr>
              <w:t>th</w:t>
            </w:r>
            <w:r>
              <w:t xml:space="preserve"> Edition textbook</w:t>
            </w:r>
          </w:p>
          <w:p w:rsidR="003066E3" w:rsidRDefault="006C0F7C">
            <w:pPr>
              <w:spacing w:line="276" w:lineRule="auto"/>
            </w:pPr>
            <w:r>
              <w:t xml:space="preserve">Download Working Papers </w:t>
            </w:r>
            <w:r>
              <w:t>Click</w:t>
            </w:r>
            <w:r>
              <w:t xml:space="preserve"> </w:t>
            </w:r>
            <w:r>
              <w:rPr>
                <w:color w:val="0000FF"/>
                <w:u w:val="single"/>
              </w:rPr>
              <w:t>Here</w:t>
            </w:r>
          </w:p>
          <w:p w:rsidR="003066E3" w:rsidRDefault="003066E3">
            <w:pPr>
              <w:spacing w:after="200" w:line="276" w:lineRule="auto"/>
            </w:pPr>
          </w:p>
        </w:tc>
      </w:tr>
      <w:tr w:rsidR="003066E3">
        <w:tc>
          <w:tcPr>
            <w:tcW w:w="2088" w:type="dxa"/>
          </w:tcPr>
          <w:p w:rsidR="003066E3" w:rsidRDefault="006C0F7C">
            <w:pPr>
              <w:spacing w:after="200" w:line="276" w:lineRule="auto"/>
            </w:pPr>
            <w:r>
              <w:rPr>
                <w:b/>
              </w:rPr>
              <w:t>Assignment and Point Value</w:t>
            </w:r>
          </w:p>
        </w:tc>
        <w:tc>
          <w:tcPr>
            <w:tcW w:w="7650" w:type="dxa"/>
            <w:shd w:val="clear" w:color="auto" w:fill="B8CCE4"/>
          </w:tcPr>
          <w:p w:rsidR="003066E3" w:rsidRDefault="006C0F7C">
            <w:r>
              <w:rPr>
                <w:b/>
                <w:u w:val="single"/>
              </w:rPr>
              <w:t xml:space="preserve">Chapter Four </w:t>
            </w:r>
            <w:r>
              <w:rPr>
                <w:b/>
              </w:rPr>
              <w:t xml:space="preserve">:  Office Communications: Phone, Scheduling, and Mail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Read Chapter 4.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4.1 Taking Messages using WP 10-17.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4.2 Scheduling Decision Making using WP 18.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4.3 Setting up Dr. Larsen’s Practice –</w:t>
            </w:r>
            <w:proofErr w:type="spellStart"/>
            <w:r>
              <w:t>Medisoft</w:t>
            </w:r>
            <w:proofErr w:type="spellEnd"/>
            <w:r>
              <w:t xml:space="preserve"> (10 points</w:t>
            </w:r>
            <w:r>
              <w:t>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4.4 Scheduling Appointments – </w:t>
            </w:r>
            <w:proofErr w:type="spellStart"/>
            <w:r>
              <w:t>Medisoft</w:t>
            </w:r>
            <w:proofErr w:type="spellEnd"/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4.5 Rescheduling Appointments- </w:t>
            </w:r>
            <w:proofErr w:type="spellStart"/>
            <w:r>
              <w:t>Medisoft</w:t>
            </w:r>
            <w:proofErr w:type="spellEnd"/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4.6 Out-of-Office Scheduling using WP 37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a Word document, give the answers for the Review Questions on Page 135-137.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the same Word do</w:t>
            </w:r>
            <w:r>
              <w:t>cument, type the Thinking It Through questions as well as answers using complete sentences. (20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Study the chapter and let your instructor know when you are ready to take the written exam. Please be aware that these exams are quite long and cover mo</w:t>
            </w:r>
            <w:r>
              <w:t>st of the material presented in the chapter. (40 points)</w:t>
            </w:r>
          </w:p>
          <w:p w:rsidR="003066E3" w:rsidRDefault="003066E3">
            <w:pPr>
              <w:spacing w:after="200" w:line="276" w:lineRule="auto"/>
              <w:ind w:left="720"/>
            </w:pPr>
          </w:p>
          <w:p w:rsidR="003066E3" w:rsidRDefault="006C0F7C">
            <w:r>
              <w:rPr>
                <w:b/>
                <w:u w:val="single"/>
              </w:rPr>
              <w:t>Chapter Five</w:t>
            </w:r>
            <w:r>
              <w:rPr>
                <w:b/>
              </w:rPr>
              <w:t>:  Managing Health Information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Read Chapter 5.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5.1 Computer Terms using WP 38.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5.2 Computer Technology using WP 39.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lastRenderedPageBreak/>
              <w:t xml:space="preserve">Project 5.3 Preparing Patient </w:t>
            </w:r>
            <w:r>
              <w:t>Files 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5.4 Chart Entries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5.5 Lab Message Entries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5.6 Chart Transcription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5.7 Knowledge of the EHR using WP 40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5.8 Internet Research: Using </w:t>
            </w:r>
            <w:hyperlink r:id="rId6">
              <w:r>
                <w:rPr>
                  <w:color w:val="0000FF"/>
                  <w:u w:val="single"/>
                </w:rPr>
                <w:t>AHIMA</w:t>
              </w:r>
            </w:hyperlink>
            <w:r>
              <w:t xml:space="preserve"> as a Resource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5.9 Cross Referencing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5.10 Using Subject Filing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5.11 Entering Patient Information – </w:t>
            </w:r>
            <w:proofErr w:type="spellStart"/>
            <w:r>
              <w:t>Medisoft</w:t>
            </w:r>
            <w:proofErr w:type="spellEnd"/>
            <w:r>
              <w:t xml:space="preserve">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5.12 Editing Patient Information – </w:t>
            </w:r>
            <w:proofErr w:type="spellStart"/>
            <w:r>
              <w:t>Medisoft</w:t>
            </w:r>
            <w:proofErr w:type="spellEnd"/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a Word document, give the answers for the Review Questions on Page 194-196. (10 po</w:t>
            </w:r>
            <w:r>
              <w:t>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the same Word document, type the Thinking It Through questions as well as answers using complete sentences on page 197. (20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>Study the chapter and let your instructor know when you are ready to take the written exam. Please be aware that th</w:t>
            </w:r>
            <w:r>
              <w:t>ese exams are quite long and cover most of the material presented in the chapter. (40 points)</w:t>
            </w:r>
          </w:p>
          <w:p w:rsidR="003066E3" w:rsidRDefault="003066E3"/>
          <w:p w:rsidR="003066E3" w:rsidRDefault="006C0F7C">
            <w:r>
              <w:rPr>
                <w:b/>
              </w:rPr>
              <w:t>Simulation 1: (50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Read Pages 198- 201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Gather Materials (WP, Binder &amp; Dividers)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For Audio files and Dictation Files Click </w:t>
            </w:r>
            <w:hyperlink r:id="rId7">
              <w:r>
                <w:rPr>
                  <w:color w:val="0000FF"/>
                  <w:u w:val="single"/>
                </w:rPr>
                <w:t>here</w:t>
              </w:r>
            </w:hyperlink>
            <w:hyperlink r:id="rId8"/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For Patient Information Forms Click </w:t>
            </w:r>
            <w:r>
              <w:rPr>
                <w:color w:val="0000FF"/>
                <w:u w:val="single"/>
              </w:rPr>
              <w:t>here</w:t>
            </w:r>
            <w:r>
              <w:t xml:space="preserve">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Refer to Appendix</w:t>
            </w:r>
            <w:r>
              <w:t xml:space="preserve"> A for Specific Instructions on </w:t>
            </w:r>
            <w:proofErr w:type="spellStart"/>
            <w:r>
              <w:t>Medisoft</w:t>
            </w:r>
            <w:proofErr w:type="spellEnd"/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For additional Forms go to </w:t>
            </w:r>
            <w:hyperlink r:id="rId9">
              <w:r>
                <w:rPr>
                  <w:color w:val="0000FF"/>
                  <w:u w:val="single"/>
                </w:rPr>
                <w:t>www.mhhe.com/bayes8e</w:t>
              </w:r>
            </w:hyperlink>
            <w:r>
              <w:t xml:space="preserve"> (Student Edition)</w:t>
            </w:r>
          </w:p>
          <w:p w:rsidR="003066E3" w:rsidRDefault="006C0F7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 xml:space="preserve">See Instructor for Lesson  on </w:t>
            </w:r>
            <w:proofErr w:type="spellStart"/>
            <w:r>
              <w:t>Medisoft</w:t>
            </w:r>
            <w:proofErr w:type="spellEnd"/>
          </w:p>
          <w:p w:rsidR="003066E3" w:rsidRDefault="003066E3"/>
          <w:p w:rsidR="003066E3" w:rsidRDefault="006C0F7C">
            <w:r>
              <w:rPr>
                <w:b/>
              </w:rPr>
              <w:t xml:space="preserve">Chapter 6 : Office Management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Read Pages 202-232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 xml:space="preserve">Project 6.1 </w:t>
            </w:r>
            <w:r>
              <w:t xml:space="preserve">– Design a Waiting Area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Project 6.2 – Analyze Usage of Time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6.4 – Internet Research: Journal Articles and Patient Education Form.  Include Bibliography data using APA format.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6.5 – Internet Research: </w:t>
            </w:r>
            <w:hyperlink r:id="rId10">
              <w:r>
                <w:rPr>
                  <w:color w:val="0000FF"/>
                  <w:u w:val="single"/>
                </w:rPr>
                <w:t>OSHA</w:t>
              </w:r>
            </w:hyperlink>
            <w:r>
              <w:t xml:space="preserve"> Compliance Plan for the Medical Office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a Word document, give the answers for the Review Questions on Page 236-238.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the same Word document, type the Thinking It</w:t>
            </w:r>
            <w:r>
              <w:t xml:space="preserve"> Through questions as well as answers using complete sentences on page 238. (20 points)</w:t>
            </w:r>
          </w:p>
          <w:p w:rsidR="003066E3" w:rsidRDefault="003066E3">
            <w:pPr>
              <w:spacing w:line="276" w:lineRule="auto"/>
              <w:ind w:left="720"/>
            </w:pPr>
          </w:p>
          <w:p w:rsidR="003066E3" w:rsidRDefault="006C0F7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 xml:space="preserve">Study the chapter and let your instructor know when you are ready to take the written exam. Please be aware that these exams are quite long and </w:t>
            </w:r>
            <w:r>
              <w:lastRenderedPageBreak/>
              <w:t>cover most of the material presented in the chapter. (40 points)</w:t>
            </w:r>
          </w:p>
          <w:p w:rsidR="003066E3" w:rsidRDefault="003066E3">
            <w:pPr>
              <w:spacing w:after="200" w:line="276" w:lineRule="auto"/>
            </w:pPr>
          </w:p>
          <w:p w:rsidR="003066E3" w:rsidRDefault="003066E3"/>
          <w:p w:rsidR="003066E3" w:rsidRDefault="006C0F7C">
            <w:r>
              <w:rPr>
                <w:b/>
              </w:rPr>
              <w:t>Chapter 7: Insurance and Coding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Read Pages 24</w:t>
            </w:r>
            <w:r>
              <w:t>0-271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7.1 – Insurance Terminology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7.3 – Insurance Plans, Payers, and Payment Methods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Project 7.4 – Identifying Diagnostic and Procedure Codes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Project 7.5 Optional Diagnostic and Procedure Coding exercises. 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a Word document, give the ans</w:t>
            </w:r>
            <w:r>
              <w:t>wers for the Review Questions on Page 275-277. (10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In the same Word document, type the Thinking It Through questions as well as answers using complete sentences on page 277. (20 points)</w:t>
            </w:r>
          </w:p>
          <w:p w:rsidR="003066E3" w:rsidRDefault="006C0F7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 xml:space="preserve">Study the chapter </w:t>
            </w:r>
            <w:r>
              <w:t>and let your instructor know when you are re</w:t>
            </w:r>
            <w:r>
              <w:t>ady to take the written exam. Please be aware that these exams are quite long and cover most of the material presented in the chapter. (40 points)</w:t>
            </w:r>
          </w:p>
          <w:p w:rsidR="003066E3" w:rsidRDefault="006C0F7C">
            <w:r>
              <w:rPr>
                <w:b/>
              </w:rPr>
              <w:t xml:space="preserve">Chapter 8: Billing, Reimbursement, and Collections 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t>Read pages 278 - 309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t>Project 8.1 - Updating Patient Statements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t>Project 8.3 - Completing Claim Forms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Project 8.4 - Posting Payments 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t>Project 8.5 Preparing an Effective Collection  Letter</w:t>
            </w:r>
          </w:p>
          <w:p w:rsidR="003066E3" w:rsidRDefault="006C0F7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t>In a Word document, give the answers for the Review Questions on Page 315-317. (10 points)</w:t>
            </w:r>
          </w:p>
          <w:p w:rsidR="003066E3" w:rsidRDefault="006C0F7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t>In the same Word document, type the Thinking It Through questions as well as answers using complete sentences on page 317. (20 points)</w:t>
            </w:r>
          </w:p>
          <w:p w:rsidR="003066E3" w:rsidRDefault="006C0F7C">
            <w:pPr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b/>
              </w:rPr>
              <w:t xml:space="preserve">Study the chapter </w:t>
            </w:r>
            <w:r>
              <w:t>and let your instructor know when you are ready to take the written exam. Please be aware that these ex</w:t>
            </w:r>
            <w:r>
              <w:t xml:space="preserve">ams are quite long and cover most of the material presented in the chapter. (40 points) </w:t>
            </w:r>
          </w:p>
          <w:p w:rsidR="003066E3" w:rsidRDefault="003066E3"/>
        </w:tc>
      </w:tr>
      <w:tr w:rsidR="003066E3">
        <w:tc>
          <w:tcPr>
            <w:tcW w:w="2088" w:type="dxa"/>
          </w:tcPr>
          <w:p w:rsidR="003066E3" w:rsidRDefault="006C0F7C">
            <w:pPr>
              <w:spacing w:after="200" w:line="276" w:lineRule="auto"/>
            </w:pPr>
            <w:r>
              <w:lastRenderedPageBreak/>
              <w:t>Assessment</w:t>
            </w:r>
          </w:p>
        </w:tc>
        <w:tc>
          <w:tcPr>
            <w:tcW w:w="7650" w:type="dxa"/>
          </w:tcPr>
          <w:p w:rsidR="003066E3" w:rsidRDefault="006C0F7C">
            <w:pPr>
              <w:spacing w:line="276" w:lineRule="auto"/>
            </w:pPr>
            <w:r>
              <w:t>Chapter work graded for completeness and accuracy of work.</w:t>
            </w:r>
          </w:p>
          <w:p w:rsidR="003066E3" w:rsidRDefault="006C0F7C">
            <w:pPr>
              <w:spacing w:line="276" w:lineRule="auto"/>
            </w:pPr>
            <w:r>
              <w:t>Chapter tests require an 80% passing score.</w:t>
            </w:r>
          </w:p>
          <w:p w:rsidR="003066E3" w:rsidRDefault="003066E3">
            <w:pPr>
              <w:spacing w:after="200" w:line="276" w:lineRule="auto"/>
            </w:pPr>
          </w:p>
        </w:tc>
      </w:tr>
    </w:tbl>
    <w:p w:rsidR="003066E3" w:rsidRDefault="003066E3">
      <w:pPr>
        <w:ind w:left="1440"/>
      </w:pPr>
    </w:p>
    <w:sectPr w:rsidR="00306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114"/>
    <w:multiLevelType w:val="multilevel"/>
    <w:tmpl w:val="C1789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B6B3BC5"/>
    <w:multiLevelType w:val="multilevel"/>
    <w:tmpl w:val="833AAA9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2933361"/>
    <w:multiLevelType w:val="multilevel"/>
    <w:tmpl w:val="8C6EBC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E3"/>
    <w:rsid w:val="003066E3"/>
    <w:rsid w:val="006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5B972-5A4F-4975-8074-600C9AF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0077862031/student_view0/projects_and_simul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mheducation.com/sites/0077862031/student_view0/projects_and_simul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im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ointcommission.org/standards_information/npsgs.aspx" TargetMode="External"/><Relationship Id="rId10" Type="http://schemas.openxmlformats.org/officeDocument/2006/relationships/hyperlink" Target="https://www.osha.gov/Publications/OSHA3187/osha31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he.com/bayes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Eulana J.</dc:creator>
  <cp:lastModifiedBy>Williams, Eulana J.</cp:lastModifiedBy>
  <cp:revision>2</cp:revision>
  <dcterms:created xsi:type="dcterms:W3CDTF">2016-09-09T15:06:00Z</dcterms:created>
  <dcterms:modified xsi:type="dcterms:W3CDTF">2016-09-09T15:06:00Z</dcterms:modified>
</cp:coreProperties>
</file>