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F" w:rsidRDefault="00401129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18"/>
          <w:szCs w:val="18"/>
        </w:rPr>
        <w:t>APUSH</w:t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>Name _____________________________________</w:t>
      </w:r>
    </w:p>
    <w:p w:rsidR="00401129" w:rsidRDefault="00677F2D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Review Activity #</w:t>
      </w:r>
      <w:r w:rsidR="009F5618">
        <w:rPr>
          <w:rFonts w:ascii="Arial" w:hAnsi="Arial" w:cs="Arial"/>
          <w:b/>
          <w:bCs/>
          <w:color w:val="333333"/>
          <w:sz w:val="18"/>
          <w:szCs w:val="18"/>
        </w:rPr>
        <w:t>9</w:t>
      </w:r>
      <w:r w:rsidR="00CF3143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401129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401129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EC2392">
        <w:rPr>
          <w:rFonts w:ascii="Arial" w:hAnsi="Arial" w:cs="Arial"/>
          <w:b/>
          <w:bCs/>
          <w:color w:val="333333"/>
          <w:sz w:val="18"/>
          <w:szCs w:val="18"/>
        </w:rPr>
        <w:tab/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>Hour  _____</w:t>
      </w:r>
      <w:r w:rsidR="00C303DE">
        <w:rPr>
          <w:rFonts w:ascii="Arial" w:hAnsi="Arial" w:cs="Arial"/>
          <w:b/>
          <w:bCs/>
          <w:color w:val="333333"/>
          <w:sz w:val="18"/>
          <w:szCs w:val="18"/>
        </w:rPr>
        <w:tab/>
        <w:t>Date ________________________</w:t>
      </w:r>
    </w:p>
    <w:p w:rsidR="0020289E" w:rsidRPr="00035F1C" w:rsidRDefault="0020289E" w:rsidP="00202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677F2D" w:rsidRDefault="00677F2D" w:rsidP="00677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18"/>
        </w:rPr>
      </w:pPr>
      <w:r>
        <w:rPr>
          <w:rFonts w:ascii="Arial" w:hAnsi="Arial" w:cs="Arial"/>
          <w:b/>
          <w:bCs/>
          <w:color w:val="333333"/>
          <w:sz w:val="24"/>
          <w:szCs w:val="18"/>
        </w:rPr>
        <w:t>College Board Concept Outline</w:t>
      </w:r>
    </w:p>
    <w:p w:rsidR="009F5618" w:rsidRDefault="009F5618" w:rsidP="00677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18"/>
        </w:rPr>
      </w:pPr>
      <w:r>
        <w:rPr>
          <w:rFonts w:ascii="Arial" w:hAnsi="Arial" w:cs="Arial"/>
          <w:b/>
          <w:bCs/>
          <w:color w:val="333333"/>
          <w:sz w:val="24"/>
          <w:szCs w:val="18"/>
        </w:rPr>
        <w:t>Period 9:  1980 to the Present</w:t>
      </w:r>
    </w:p>
    <w:p w:rsidR="005B3CD6" w:rsidRDefault="005B3CD6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1837" w:rsidRP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Overview:  </w:t>
      </w:r>
      <w:r w:rsidR="00E61837" w:rsidRPr="009F5618">
        <w:rPr>
          <w:rFonts w:ascii="Arial" w:hAnsi="Arial" w:cs="Arial"/>
          <w:bCs/>
          <w:color w:val="000000"/>
          <w:sz w:val="18"/>
          <w:szCs w:val="18"/>
        </w:rPr>
        <w:t>As the United States transitioned to a new century filled with</w:t>
      </w:r>
      <w:r w:rsidR="00F375BF" w:rsidRPr="009F561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837" w:rsidRPr="009F5618">
        <w:rPr>
          <w:rFonts w:ascii="Arial" w:hAnsi="Arial" w:cs="Arial"/>
          <w:bCs/>
          <w:color w:val="000000"/>
          <w:sz w:val="18"/>
          <w:szCs w:val="18"/>
        </w:rPr>
        <w:t>challenges and possibilities, it experienced renewed ideological and</w:t>
      </w:r>
      <w:r w:rsidR="00F375BF" w:rsidRPr="009F561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837" w:rsidRPr="009F5618">
        <w:rPr>
          <w:rFonts w:ascii="Arial" w:hAnsi="Arial" w:cs="Arial"/>
          <w:bCs/>
          <w:color w:val="000000"/>
          <w:sz w:val="18"/>
          <w:szCs w:val="18"/>
        </w:rPr>
        <w:t>cultural debates, sought to redefine its foreign policy, and adapted</w:t>
      </w:r>
      <w:r w:rsidR="00F375BF" w:rsidRPr="009F561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837" w:rsidRPr="009F5618">
        <w:rPr>
          <w:rFonts w:ascii="Arial" w:hAnsi="Arial" w:cs="Arial"/>
          <w:bCs/>
          <w:color w:val="000000"/>
          <w:sz w:val="18"/>
          <w:szCs w:val="18"/>
        </w:rPr>
        <w:t>to economic globalization and revolutionary changes in science and</w:t>
      </w:r>
      <w:r w:rsidR="00F375BF" w:rsidRPr="009F561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61837" w:rsidRPr="009F5618">
        <w:rPr>
          <w:rFonts w:ascii="Arial" w:hAnsi="Arial" w:cs="Arial"/>
          <w:bCs/>
          <w:color w:val="000000"/>
          <w:sz w:val="18"/>
          <w:szCs w:val="18"/>
        </w:rPr>
        <w:t>technology.</w:t>
      </w:r>
    </w:p>
    <w:p w:rsidR="00E61837" w:rsidRPr="009F5618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E61837" w:rsidRPr="00035F1C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b/>
          <w:bCs/>
          <w:color w:val="000000"/>
          <w:sz w:val="18"/>
          <w:szCs w:val="18"/>
        </w:rPr>
        <w:t xml:space="preserve">Key Concept 9.1: </w:t>
      </w:r>
      <w:r w:rsidRPr="00035F1C">
        <w:rPr>
          <w:rFonts w:ascii="Arial" w:hAnsi="Arial" w:cs="Arial"/>
          <w:color w:val="000000"/>
          <w:sz w:val="18"/>
          <w:szCs w:val="18"/>
        </w:rPr>
        <w:t>A new conservatism gre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w to prominence in U.S. culture </w:t>
      </w:r>
      <w:r w:rsidRPr="00035F1C">
        <w:rPr>
          <w:rFonts w:ascii="Arial" w:hAnsi="Arial" w:cs="Arial"/>
          <w:color w:val="000000"/>
          <w:sz w:val="18"/>
          <w:szCs w:val="18"/>
        </w:rPr>
        <w:t>and politics, defending traditional social values and rejecting liberal views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about the role of government.</w:t>
      </w:r>
    </w:p>
    <w:p w:rsidR="006029C2" w:rsidRPr="00035F1C" w:rsidRDefault="006029C2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t xml:space="preserve">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Reduced public faith in the government’s ability to solve social and economic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problems, the growth of religious fundamentalism, and the dissemination of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neoconservative thought all combined to invigorate conservatism.</w:t>
      </w: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Public confidence and trust in government declined in the 1970s in the wake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of economic challenges, political scandals, foreign policy “failures,” and a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sense of social and moral decay.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48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BD54DB" w:rsidRPr="00035F1C" w:rsidRDefault="00BD54DB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The rapid and substantial growth of evangelical and fundamentalist Christian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churches and organizations, as well as increased political participation by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some of those groups, encouraged significant opposition to liberal social and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political trends.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49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133ADE" w:rsidRDefault="00133ADE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lastRenderedPageBreak/>
        <w:t xml:space="preserve">II.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Conservatives achieved some of their political and policy goals, but their success was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 xml:space="preserve">limited by the enduring popularity and institutional strength of some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government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 xml:space="preserve">programs and public support for cultural trends of recent decades. </w:t>
      </w:r>
    </w:p>
    <w:p w:rsidR="009F5618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08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Conservatives enjoyed significant victories related to taxation and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deregulation of many industries, but many conservative efforts to advance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moral ideals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through politics met inertia and opposition.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0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Although Republicans continued to denounce “big government,” the size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and scope of the federal government continued to grow after 1980, as many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programs remained popular with voters and difficult to reform or eliminate.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1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5618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1837" w:rsidRPr="00035F1C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Key Concept 9.2: </w:t>
      </w:r>
      <w:r w:rsidRPr="00035F1C">
        <w:rPr>
          <w:rFonts w:ascii="Arial" w:hAnsi="Arial" w:cs="Arial"/>
          <w:color w:val="000000"/>
          <w:sz w:val="18"/>
          <w:szCs w:val="18"/>
        </w:rPr>
        <w:t>The end of the Cold War and new challenges to U.S.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leadership in the world forced the nation to redefine its foreign policy and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global role.</w:t>
      </w:r>
    </w:p>
    <w:p w:rsidR="00133ADE" w:rsidRPr="00035F1C" w:rsidRDefault="00133ADE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08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t xml:space="preserve">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The Reagan administration pursued a reinvigorated anti-Communist and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interventionist foreign policy that set the tone for later administrations.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4080"/>
          <w:sz w:val="18"/>
          <w:szCs w:val="18"/>
        </w:rPr>
        <w:t>(WOR-7) (WOR-8)</w:t>
      </w: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President Ronald Reagan, who initially rejected détente with increased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defense spending, military action, and bellicose rhetoric, later developed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 friendly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relationship with Soviet leader Mikhail Gorbachev, leading to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significant arms reductions by both countries.</w:t>
      </w: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52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The end of the Cold War led to new diplomatic relationships but also new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U.S. military and peacekeeping interventions, as well as debates over the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nature and extent of American power in the world.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3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33ADE" w:rsidRDefault="00133ADE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lastRenderedPageBreak/>
        <w:t xml:space="preserve">II.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Following the attacks of September 11, 2001, U.S. foreign policy and military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involvement focused on a war on terrorism, which also generated debates about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 xml:space="preserve">domestic security and civil rights. </w:t>
      </w: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29C2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In the wake of attacks on the World Trade Center and the Pentagon,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U.S. decision-makers launched foreign policy and military efforts against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terrorism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and lengthy, controversial conflicts in Afghanistan and Iraq.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4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The war on terrorism sought to improve security within the United States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but also raised questions about the protection of civil liberties and human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rights.</w:t>
      </w:r>
    </w:p>
    <w:p w:rsidR="00E61837" w:rsidRPr="00035F1C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61837" w:rsidRPr="00035F1C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b/>
          <w:bCs/>
          <w:color w:val="000000"/>
          <w:sz w:val="18"/>
          <w:szCs w:val="18"/>
        </w:rPr>
        <w:t xml:space="preserve">Key Concept 9.3: </w:t>
      </w:r>
      <w:r w:rsidRPr="00035F1C">
        <w:rPr>
          <w:rFonts w:ascii="Arial" w:hAnsi="Arial" w:cs="Arial"/>
          <w:color w:val="000000"/>
          <w:sz w:val="18"/>
          <w:szCs w:val="18"/>
        </w:rPr>
        <w:t>Moving into the 21st century, the nation continued to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experience challenges stemming from social, economic, and demographic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changes.</w:t>
      </w:r>
    </w:p>
    <w:p w:rsidR="006029C2" w:rsidRPr="00035F1C" w:rsidRDefault="006029C2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5618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t xml:space="preserve">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The increasing integration of the U.S. into the world economy was accompanied by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>economic instability and major policy, social, and environmental challenges.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Economic inequality increased after 1980 as U.S. manufacturing jobs were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eliminated, union membership declined, and real wages stagnated for the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middle class.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5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Policy debates intensified over free trade agreements, the size and scope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of the government social safety net, and calls to reform the U.S. financial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system.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6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Conflict in the Middle East and concerns about climate change led to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debates over U.S. dependence on fossil fuels and the impact of economic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consumption on the environment.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57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29C2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The spread of computer technology and the Internet into daily life increased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access to information and led to new social behaviors and networks.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58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F5618" w:rsidRDefault="00E61837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35F1C">
        <w:rPr>
          <w:rFonts w:ascii="Arial" w:hAnsi="Arial" w:cs="Arial"/>
          <w:color w:val="000000"/>
          <w:sz w:val="18"/>
          <w:szCs w:val="18"/>
        </w:rPr>
        <w:lastRenderedPageBreak/>
        <w:t xml:space="preserve">II. </w:t>
      </w:r>
      <w:r w:rsidR="009F5618">
        <w:rPr>
          <w:rFonts w:ascii="Arial" w:hAnsi="Arial" w:cs="Arial"/>
          <w:color w:val="000000"/>
          <w:sz w:val="18"/>
          <w:szCs w:val="18"/>
        </w:rPr>
        <w:tab/>
      </w:r>
      <w:r w:rsidRPr="00035F1C">
        <w:rPr>
          <w:rFonts w:ascii="Arial" w:hAnsi="Arial" w:cs="Arial"/>
          <w:color w:val="000000"/>
          <w:sz w:val="18"/>
          <w:szCs w:val="18"/>
        </w:rPr>
        <w:t>The U.S. population continued to undergo significant demographic shifts that had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F1C">
        <w:rPr>
          <w:rFonts w:ascii="Arial" w:hAnsi="Arial" w:cs="Arial"/>
          <w:color w:val="000000"/>
          <w:sz w:val="18"/>
          <w:szCs w:val="18"/>
        </w:rPr>
        <w:t xml:space="preserve">profound cultural and political consequences. </w:t>
      </w:r>
    </w:p>
    <w:p w:rsidR="009F5618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After 1980, the political, economic, and cultural influences of the American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South and West continued to increase as population shifted to those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areas,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fueled in part by a surge in migration from regions that had not been heavily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represented in earlier migrations, especially Latin America and Asia.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59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The new migrants affected U.S. culture in many ways and supplied the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economy with an important labor force, but they also became the focus of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intense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political, economic, and cultural debates.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60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1837" w:rsidRPr="00035F1C" w:rsidRDefault="009F5618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E61837" w:rsidRPr="00035F1C">
        <w:rPr>
          <w:rFonts w:ascii="Arial" w:hAnsi="Arial" w:cs="Arial"/>
          <w:color w:val="000000"/>
          <w:sz w:val="18"/>
          <w:szCs w:val="18"/>
        </w:rPr>
        <w:t>Demographic changes intensified debates about gender roles, family</w:t>
      </w:r>
      <w:r w:rsidR="006029C2" w:rsidRPr="00035F1C">
        <w:rPr>
          <w:rFonts w:ascii="Arial" w:hAnsi="Arial" w:cs="Arial"/>
          <w:color w:val="000000"/>
          <w:sz w:val="18"/>
          <w:szCs w:val="18"/>
        </w:rPr>
        <w:t xml:space="preserve"> </w:t>
      </w:r>
      <w:r w:rsidR="00E61837" w:rsidRPr="00035F1C">
        <w:rPr>
          <w:rFonts w:ascii="Arial" w:hAnsi="Arial" w:cs="Arial"/>
          <w:color w:val="000000"/>
          <w:sz w:val="18"/>
          <w:szCs w:val="18"/>
        </w:rPr>
        <w:t>structures, and racial and national identity.</w:t>
      </w:r>
    </w:p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61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10"/>
        <w:gridCol w:w="7218"/>
      </w:tblGrid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F561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Example</w:t>
            </w: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Definition/Description</w:t>
            </w: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F5618">
              <w:rPr>
                <w:rFonts w:ascii="Arial" w:hAnsi="Arial" w:cs="Arial"/>
                <w:b/>
                <w:color w:val="000000"/>
                <w:sz w:val="20"/>
                <w:szCs w:val="18"/>
              </w:rPr>
              <w:t>Significance to the Thesis</w:t>
            </w: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5618" w:rsidRPr="009F5618" w:rsidTr="00185565">
        <w:tc>
          <w:tcPr>
            <w:tcW w:w="172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7218" w:type="dxa"/>
          </w:tcPr>
          <w:p w:rsidR="009F5618" w:rsidRPr="009F5618" w:rsidRDefault="009F5618" w:rsidP="009F561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9F5618" w:rsidRPr="009F5618" w:rsidRDefault="009F5618" w:rsidP="009F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D54DB" w:rsidRPr="00035F1C" w:rsidRDefault="00BD54DB" w:rsidP="00E61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BD54DB" w:rsidRPr="00035F1C" w:rsidSect="00EC2392">
      <w:footerReference w:type="default" r:id="rId8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A8" w:rsidRDefault="004122A8" w:rsidP="00CF3143">
      <w:pPr>
        <w:spacing w:after="0" w:line="240" w:lineRule="auto"/>
      </w:pPr>
      <w:r>
        <w:separator/>
      </w:r>
    </w:p>
  </w:endnote>
  <w:endnote w:type="continuationSeparator" w:id="0">
    <w:p w:rsidR="004122A8" w:rsidRDefault="004122A8" w:rsidP="00CF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399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4122A8" w:rsidRPr="00CF3143" w:rsidRDefault="004122A8">
        <w:pPr>
          <w:pStyle w:val="Footer"/>
          <w:jc w:val="center"/>
          <w:rPr>
            <w:rFonts w:ascii="Arial" w:hAnsi="Arial" w:cs="Arial"/>
            <w:sz w:val="18"/>
          </w:rPr>
        </w:pPr>
        <w:r w:rsidRPr="00CF3143">
          <w:rPr>
            <w:rFonts w:ascii="Arial" w:hAnsi="Arial" w:cs="Arial"/>
            <w:sz w:val="18"/>
          </w:rPr>
          <w:fldChar w:fldCharType="begin"/>
        </w:r>
        <w:r w:rsidRPr="00CF3143">
          <w:rPr>
            <w:rFonts w:ascii="Arial" w:hAnsi="Arial" w:cs="Arial"/>
            <w:sz w:val="18"/>
          </w:rPr>
          <w:instrText xml:space="preserve"> PAGE   \* MERGEFORMAT </w:instrText>
        </w:r>
        <w:r w:rsidRPr="00CF3143">
          <w:rPr>
            <w:rFonts w:ascii="Arial" w:hAnsi="Arial" w:cs="Arial"/>
            <w:sz w:val="18"/>
          </w:rPr>
          <w:fldChar w:fldCharType="separate"/>
        </w:r>
        <w:r w:rsidR="00FC2BBF">
          <w:rPr>
            <w:rFonts w:ascii="Arial" w:hAnsi="Arial" w:cs="Arial"/>
            <w:noProof/>
            <w:sz w:val="18"/>
          </w:rPr>
          <w:t>1</w:t>
        </w:r>
        <w:r w:rsidRPr="00CF3143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4122A8" w:rsidRDefault="00412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A8" w:rsidRDefault="004122A8" w:rsidP="00CF3143">
      <w:pPr>
        <w:spacing w:after="0" w:line="240" w:lineRule="auto"/>
      </w:pPr>
      <w:r>
        <w:separator/>
      </w:r>
    </w:p>
  </w:footnote>
  <w:footnote w:type="continuationSeparator" w:id="0">
    <w:p w:rsidR="004122A8" w:rsidRDefault="004122A8" w:rsidP="00CF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B20"/>
    <w:multiLevelType w:val="hybridMultilevel"/>
    <w:tmpl w:val="4A0E69D0"/>
    <w:lvl w:ilvl="0" w:tplc="D02A697C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31EEF"/>
    <w:multiLevelType w:val="hybridMultilevel"/>
    <w:tmpl w:val="DC6C9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D26C8"/>
    <w:multiLevelType w:val="hybridMultilevel"/>
    <w:tmpl w:val="4FD4C8AE"/>
    <w:lvl w:ilvl="0" w:tplc="09844F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57E8"/>
    <w:multiLevelType w:val="hybridMultilevel"/>
    <w:tmpl w:val="E0A47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1B1"/>
    <w:multiLevelType w:val="hybridMultilevel"/>
    <w:tmpl w:val="B1F82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67203B"/>
    <w:multiLevelType w:val="hybridMultilevel"/>
    <w:tmpl w:val="CC6CDD6C"/>
    <w:lvl w:ilvl="0" w:tplc="BA20FE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C795A"/>
    <w:multiLevelType w:val="hybridMultilevel"/>
    <w:tmpl w:val="B7302D06"/>
    <w:lvl w:ilvl="0" w:tplc="49780D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B15"/>
    <w:multiLevelType w:val="hybridMultilevel"/>
    <w:tmpl w:val="CE58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4D5FA6"/>
    <w:multiLevelType w:val="hybridMultilevel"/>
    <w:tmpl w:val="E98C3A1E"/>
    <w:lvl w:ilvl="0" w:tplc="148A6ED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16BA6"/>
    <w:multiLevelType w:val="hybridMultilevel"/>
    <w:tmpl w:val="354E6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22657F"/>
    <w:multiLevelType w:val="hybridMultilevel"/>
    <w:tmpl w:val="31CE24F8"/>
    <w:lvl w:ilvl="0" w:tplc="848083D8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3957"/>
    <w:multiLevelType w:val="hybridMultilevel"/>
    <w:tmpl w:val="3E244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86B44"/>
    <w:multiLevelType w:val="hybridMultilevel"/>
    <w:tmpl w:val="BB02A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9E277C"/>
    <w:multiLevelType w:val="hybridMultilevel"/>
    <w:tmpl w:val="E4621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947D0A"/>
    <w:multiLevelType w:val="hybridMultilevel"/>
    <w:tmpl w:val="11C64966"/>
    <w:lvl w:ilvl="0" w:tplc="5E205224">
      <w:start w:val="3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49A1"/>
    <w:multiLevelType w:val="hybridMultilevel"/>
    <w:tmpl w:val="F7286BE2"/>
    <w:lvl w:ilvl="0" w:tplc="887C6E32">
      <w:start w:val="3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7"/>
    <w:rsid w:val="000147CB"/>
    <w:rsid w:val="00035F1C"/>
    <w:rsid w:val="000B0C69"/>
    <w:rsid w:val="000E093A"/>
    <w:rsid w:val="00117BA0"/>
    <w:rsid w:val="00133ADE"/>
    <w:rsid w:val="001C2CB3"/>
    <w:rsid w:val="0020289E"/>
    <w:rsid w:val="00287F27"/>
    <w:rsid w:val="00291EBA"/>
    <w:rsid w:val="002F1815"/>
    <w:rsid w:val="00307692"/>
    <w:rsid w:val="003A2ED5"/>
    <w:rsid w:val="003E20C6"/>
    <w:rsid w:val="00401129"/>
    <w:rsid w:val="004122A8"/>
    <w:rsid w:val="00546C24"/>
    <w:rsid w:val="00572053"/>
    <w:rsid w:val="00575CE4"/>
    <w:rsid w:val="005B3CD6"/>
    <w:rsid w:val="005E594B"/>
    <w:rsid w:val="005E6B56"/>
    <w:rsid w:val="006029C2"/>
    <w:rsid w:val="00621833"/>
    <w:rsid w:val="006373A3"/>
    <w:rsid w:val="00641D53"/>
    <w:rsid w:val="00677F2D"/>
    <w:rsid w:val="00711FDA"/>
    <w:rsid w:val="00746E13"/>
    <w:rsid w:val="00754BFF"/>
    <w:rsid w:val="007B3F4A"/>
    <w:rsid w:val="00800DE5"/>
    <w:rsid w:val="00814533"/>
    <w:rsid w:val="008421DD"/>
    <w:rsid w:val="00866189"/>
    <w:rsid w:val="0090240E"/>
    <w:rsid w:val="00925C0A"/>
    <w:rsid w:val="009325EA"/>
    <w:rsid w:val="009B503F"/>
    <w:rsid w:val="009B79A0"/>
    <w:rsid w:val="009F5618"/>
    <w:rsid w:val="00A55EE6"/>
    <w:rsid w:val="00A815DF"/>
    <w:rsid w:val="00B04D89"/>
    <w:rsid w:val="00B05B45"/>
    <w:rsid w:val="00B13ED9"/>
    <w:rsid w:val="00B47871"/>
    <w:rsid w:val="00B5566A"/>
    <w:rsid w:val="00B678EC"/>
    <w:rsid w:val="00B770A8"/>
    <w:rsid w:val="00BA0EC7"/>
    <w:rsid w:val="00BD54DB"/>
    <w:rsid w:val="00BD684A"/>
    <w:rsid w:val="00C303DE"/>
    <w:rsid w:val="00C530AD"/>
    <w:rsid w:val="00CF3143"/>
    <w:rsid w:val="00D771BC"/>
    <w:rsid w:val="00DB2433"/>
    <w:rsid w:val="00DD2CB3"/>
    <w:rsid w:val="00E034FF"/>
    <w:rsid w:val="00E47927"/>
    <w:rsid w:val="00E557FE"/>
    <w:rsid w:val="00E61837"/>
    <w:rsid w:val="00E72DDF"/>
    <w:rsid w:val="00E81147"/>
    <w:rsid w:val="00EC2392"/>
    <w:rsid w:val="00EC7014"/>
    <w:rsid w:val="00F00CC6"/>
    <w:rsid w:val="00F375BF"/>
    <w:rsid w:val="00FB3CC0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43"/>
  </w:style>
  <w:style w:type="paragraph" w:styleId="Footer">
    <w:name w:val="footer"/>
    <w:basedOn w:val="Normal"/>
    <w:link w:val="FooterChar"/>
    <w:uiPriority w:val="99"/>
    <w:unhideWhenUsed/>
    <w:rsid w:val="00CF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43"/>
  </w:style>
  <w:style w:type="table" w:styleId="TableGrid">
    <w:name w:val="Table Grid"/>
    <w:basedOn w:val="TableNormal"/>
    <w:uiPriority w:val="59"/>
    <w:rsid w:val="00EC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2392"/>
  </w:style>
  <w:style w:type="character" w:styleId="Hyperlink">
    <w:name w:val="Hyperlink"/>
    <w:basedOn w:val="DefaultParagraphFont"/>
    <w:uiPriority w:val="99"/>
    <w:semiHidden/>
    <w:unhideWhenUsed/>
    <w:rsid w:val="00EC239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8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43"/>
  </w:style>
  <w:style w:type="paragraph" w:styleId="Footer">
    <w:name w:val="footer"/>
    <w:basedOn w:val="Normal"/>
    <w:link w:val="FooterChar"/>
    <w:uiPriority w:val="99"/>
    <w:unhideWhenUsed/>
    <w:rsid w:val="00CF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43"/>
  </w:style>
  <w:style w:type="table" w:styleId="TableGrid">
    <w:name w:val="Table Grid"/>
    <w:basedOn w:val="TableNormal"/>
    <w:uiPriority w:val="59"/>
    <w:rsid w:val="00EC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2392"/>
  </w:style>
  <w:style w:type="character" w:styleId="Hyperlink">
    <w:name w:val="Hyperlink"/>
    <w:basedOn w:val="DefaultParagraphFont"/>
    <w:uiPriority w:val="99"/>
    <w:semiHidden/>
    <w:unhideWhenUsed/>
    <w:rsid w:val="00EC239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8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5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F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#622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Morley</dc:creator>
  <cp:lastModifiedBy>Steve</cp:lastModifiedBy>
  <cp:revision>2</cp:revision>
  <cp:lastPrinted>2014-06-18T10:40:00Z</cp:lastPrinted>
  <dcterms:created xsi:type="dcterms:W3CDTF">2015-08-12T19:31:00Z</dcterms:created>
  <dcterms:modified xsi:type="dcterms:W3CDTF">2015-08-12T19:31:00Z</dcterms:modified>
</cp:coreProperties>
</file>